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0DA" w:rsidRDefault="006900DA" w:rsidP="006900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900DA" w:rsidRDefault="006900DA" w:rsidP="006900DA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TABLE OF CONTENTS</w:t>
      </w:r>
    </w:p>
    <w:p w:rsidR="006900DA" w:rsidRDefault="006900DA" w:rsidP="006900DA">
      <w:pPr>
        <w:rPr>
          <w:sz w:val="28"/>
          <w:szCs w:val="28"/>
          <w:lang w:val="en-US"/>
        </w:rPr>
      </w:pPr>
    </w:p>
    <w:p w:rsidR="006900DA" w:rsidRDefault="006900DA" w:rsidP="006900DA">
      <w:pPr>
        <w:rPr>
          <w:sz w:val="28"/>
          <w:szCs w:val="28"/>
          <w:lang w:val="en-US"/>
        </w:rPr>
      </w:pPr>
    </w:p>
    <w:p w:rsidR="006900DA" w:rsidRDefault="006900DA" w:rsidP="006900DA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INTRODUCTION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Jacob L. Mey and Alessandro Capone, Pragmatics, linguistics, and socio-cultural diversity</w:t>
      </w:r>
    </w:p>
    <w:p w:rsidR="006900DA" w:rsidRDefault="006900DA" w:rsidP="006900DA">
      <w:pPr>
        <w:jc w:val="both"/>
        <w:rPr>
          <w:b/>
          <w:sz w:val="28"/>
          <w:szCs w:val="28"/>
          <w:lang w:val="en-US"/>
        </w:rPr>
      </w:pPr>
    </w:p>
    <w:p w:rsidR="006900DA" w:rsidRDefault="006900DA" w:rsidP="006900DA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I. THEORETICAL FUNDATIONS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Jacob L. Mey, Pragmatics through the prism of society.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Istvan Kecskes, How can intercultural pragmatics bring in some new insight into pragmatics theories?</w:t>
      </w:r>
    </w:p>
    <w:p w:rsidR="006900DA" w:rsidRDefault="006900DA" w:rsidP="006900DA">
      <w:pPr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Louise Cummings,  pragmatic disorders and social functioning: a lifespan </w:t>
      </w:r>
      <w:r w:rsidR="0023191D">
        <w:rPr>
          <w:sz w:val="28"/>
          <w:szCs w:val="28"/>
          <w:lang w:val="en-US"/>
        </w:rPr>
        <w:t xml:space="preserve"> p</w:t>
      </w:r>
      <w:r>
        <w:rPr>
          <w:sz w:val="28"/>
          <w:szCs w:val="28"/>
          <w:lang w:val="en-US"/>
        </w:rPr>
        <w:t xml:space="preserve">erspective. </w:t>
      </w:r>
    </w:p>
    <w:p w:rsidR="005C0235" w:rsidRPr="005C0235" w:rsidRDefault="006900DA" w:rsidP="005C0235">
      <w:pPr>
        <w:pStyle w:val="headingA"/>
        <w:jc w:val="left"/>
        <w:rPr>
          <w:sz w:val="24"/>
          <w:szCs w:val="24"/>
          <w:lang w:val="en-US" w:eastAsia="it-IT"/>
        </w:rPr>
      </w:pPr>
      <w:r w:rsidRPr="005C0235">
        <w:rPr>
          <w:b w:val="0"/>
          <w:szCs w:val="28"/>
          <w:lang w:val="en-US"/>
        </w:rPr>
        <w:t xml:space="preserve">Edda Weigand, </w:t>
      </w:r>
      <w:r w:rsidR="005C0235" w:rsidRPr="005C0235">
        <w:rPr>
          <w:b w:val="0"/>
          <w:szCs w:val="28"/>
        </w:rPr>
        <w:t>The Dialogic Principle Revisited</w:t>
      </w:r>
      <w:r w:rsidR="005C0235">
        <w:rPr>
          <w:b w:val="0"/>
          <w:szCs w:val="28"/>
        </w:rPr>
        <w:t xml:space="preserve">. </w:t>
      </w:r>
      <w:r w:rsidR="005C0235" w:rsidRPr="005C0235">
        <w:rPr>
          <w:b w:val="0"/>
          <w:szCs w:val="28"/>
        </w:rPr>
        <w:t xml:space="preserve"> Speech acts and mental states</w:t>
      </w:r>
      <w:r w:rsidR="005C0235" w:rsidRPr="005C0235">
        <w:rPr>
          <w:sz w:val="24"/>
          <w:szCs w:val="24"/>
          <w:lang w:val="en-US" w:eastAsia="it-IT"/>
        </w:rPr>
        <w:t xml:space="preserve"> </w:t>
      </w:r>
    </w:p>
    <w:p w:rsidR="006900DA" w:rsidRDefault="006900DA" w:rsidP="006900D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Cimatti, Felice</w:t>
      </w:r>
      <w:r>
        <w:rPr>
          <w:rFonts w:ascii="Times New Roman" w:hAnsi="Times New Roman" w:cs="Times New Roman"/>
          <w:sz w:val="28"/>
          <w:szCs w:val="28"/>
          <w:lang w:val="en-US"/>
        </w:rPr>
        <w:t>, Philosophy and psychoanalysis. Wittgenstein, on «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language-games</w:t>
      </w:r>
      <w:r>
        <w:rPr>
          <w:rFonts w:ascii="Times New Roman" w:hAnsi="Times New Roman" w:cs="Times New Roman"/>
          <w:sz w:val="28"/>
          <w:szCs w:val="28"/>
          <w:lang w:val="en-US"/>
        </w:rPr>
        <w:t>» and ethics.</w:t>
      </w:r>
    </w:p>
    <w:p w:rsidR="006900DA" w:rsidRDefault="006900DA" w:rsidP="006900DA">
      <w:pPr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</w:pPr>
      <w:r>
        <w:rPr>
          <w:sz w:val="28"/>
          <w:szCs w:val="28"/>
          <w:lang w:val="en-US"/>
        </w:rPr>
        <w:t xml:space="preserve">Katarzyna  Jaszczolt, 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 xml:space="preserve">E. Savva and M. Haugh, 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The Individual and the Social Path of Interpretation:  The Case of Incomplete Disjunctive Questions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 xml:space="preserve">. 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Teun van Dijk, Discourse and racism</w:t>
      </w:r>
    </w:p>
    <w:p w:rsidR="006900DA" w:rsidRDefault="006900DA" w:rsidP="006900DA">
      <w:pPr>
        <w:jc w:val="both"/>
        <w:rPr>
          <w:color w:val="222222"/>
          <w:sz w:val="28"/>
          <w:szCs w:val="28"/>
          <w:shd w:val="clear" w:color="auto" w:fill="FFFFFF"/>
          <w:lang w:val="en-US"/>
        </w:rPr>
      </w:pPr>
      <w:r>
        <w:rPr>
          <w:sz w:val="28"/>
          <w:szCs w:val="28"/>
          <w:lang w:val="en-US"/>
        </w:rPr>
        <w:t xml:space="preserve">Neal Norrick, </w:t>
      </w:r>
      <w:r>
        <w:rPr>
          <w:color w:val="222222"/>
          <w:sz w:val="28"/>
          <w:szCs w:val="28"/>
          <w:shd w:val="clear" w:color="auto" w:fill="FFFFFF"/>
          <w:lang w:val="en-US"/>
        </w:rPr>
        <w:t>Discourse Markers in Oral Narratives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Anna Gladkova, Propositional attitudes and cultural scripts 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Jacob L. Mey, Modular, cellular, integral: a pragmatic elephant? </w:t>
      </w:r>
    </w:p>
    <w:p w:rsidR="006900DA" w:rsidRDefault="00FB3E5E" w:rsidP="006900D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Alessandro </w:t>
      </w:r>
      <w:r w:rsidR="006900DA">
        <w:rPr>
          <w:sz w:val="28"/>
          <w:szCs w:val="28"/>
          <w:lang w:val="en-US"/>
        </w:rPr>
        <w:t>Capone,  On the tension between semantics and pragmatics.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Alessandro Capone,  What can pragmatics learn from the law?  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</w:p>
    <w:p w:rsidR="006900DA" w:rsidRDefault="006900DA" w:rsidP="006900DA">
      <w:pPr>
        <w:jc w:val="both"/>
        <w:rPr>
          <w:sz w:val="28"/>
          <w:szCs w:val="28"/>
          <w:lang w:val="en-US"/>
        </w:rPr>
      </w:pPr>
    </w:p>
    <w:p w:rsidR="006900DA" w:rsidRDefault="006900DA" w:rsidP="006900DA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II. LINGUISTICS AND PRAGMATICS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Nathan Klinedienst, Totally hardcore semantic presuppositions;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Wayne A. Davis, Pronouns and pragmatics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Keith Allan,  A benchmark for politeness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Jonathan Culpeper, Anti-politeness.</w:t>
      </w:r>
    </w:p>
    <w:p w:rsidR="006900DA" w:rsidRDefault="006900DA" w:rsidP="006900DA">
      <w:pPr>
        <w:rPr>
          <w:color w:val="222222"/>
          <w:sz w:val="28"/>
          <w:szCs w:val="28"/>
          <w:shd w:val="clear" w:color="auto" w:fill="FFFFFF"/>
          <w:lang w:val="en-US"/>
        </w:rPr>
      </w:pPr>
      <w:r>
        <w:rPr>
          <w:sz w:val="28"/>
          <w:szCs w:val="28"/>
          <w:lang w:val="en-US"/>
        </w:rPr>
        <w:t xml:space="preserve">Frans van Eemeren and Bart Garssen, </w:t>
      </w:r>
      <w:r>
        <w:rPr>
          <w:color w:val="222222"/>
          <w:sz w:val="28"/>
          <w:szCs w:val="28"/>
          <w:shd w:val="clear" w:color="auto" w:fill="FFFFFF"/>
          <w:lang w:val="en-US"/>
        </w:rPr>
        <w:t>Reconstructing argumentative discourse with the help of speech act conditions.</w:t>
      </w:r>
    </w:p>
    <w:p w:rsidR="006900DA" w:rsidRDefault="006900DA" w:rsidP="006900D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Fabrizio Macagno, Presupposition as argumentative reasoning</w:t>
      </w:r>
    </w:p>
    <w:p w:rsidR="006900DA" w:rsidRDefault="006900DA" w:rsidP="006900DA">
      <w:pPr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Alan Libert, </w:t>
      </w:r>
      <w:r>
        <w:rPr>
          <w:rStyle w:val="apple-converted-space"/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 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Fragment of Adpositional Pragmatics: Deixis and Anti-Deixis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6900DA" w:rsidRDefault="006900DA" w:rsidP="006900DA">
      <w:pPr>
        <w:jc w:val="both"/>
        <w:rPr>
          <w:rFonts w:ascii="Cambria" w:hAnsi="Cambria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Lucia Morra, Conversational implicatures in normative texts</w:t>
      </w:r>
    </w:p>
    <w:p w:rsidR="006900DA" w:rsidRDefault="006900DA" w:rsidP="006900DA">
      <w:pPr>
        <w:jc w:val="both"/>
        <w:rPr>
          <w:rFonts w:ascii="Cambria" w:hAnsi="Cambria"/>
          <w:sz w:val="28"/>
          <w:szCs w:val="28"/>
          <w:lang w:val="en-US"/>
        </w:rPr>
      </w:pPr>
    </w:p>
    <w:p w:rsidR="006900DA" w:rsidRDefault="006900DA" w:rsidP="006900DA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III. DISCOURSE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Donal Carbaugh, Cultural analysis of discourse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H. Haberland, The politics of transcription.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color w:val="222222"/>
          <w:sz w:val="28"/>
          <w:szCs w:val="28"/>
          <w:shd w:val="clear" w:color="auto" w:fill="FFFFFF"/>
          <w:lang w:val="en-US"/>
        </w:rPr>
        <w:t>Linda R. Waugh, Theresa Catalano, Khaled Al Masaeed, Tom Hong Do, and Paul Renigar</w:t>
      </w:r>
      <w:r>
        <w:rPr>
          <w:rFonts w:cs="Arial"/>
          <w:color w:val="222222"/>
          <w:sz w:val="28"/>
          <w:szCs w:val="28"/>
          <w:shd w:val="clear" w:color="auto" w:fill="FFFFFF"/>
          <w:lang w:val="en-US"/>
        </w:rPr>
        <w:t> </w:t>
      </w:r>
      <w:r>
        <w:rPr>
          <w:sz w:val="28"/>
          <w:szCs w:val="28"/>
          <w:lang w:val="en-US"/>
        </w:rPr>
        <w:t>, Critical Discourse Analysis and Pragmatics</w:t>
      </w:r>
    </w:p>
    <w:p w:rsidR="0023191D" w:rsidRDefault="0023191D" w:rsidP="0023191D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Cornelia Ilie, Institutional metadiscourse</w:t>
      </w:r>
    </w:p>
    <w:p w:rsidR="0023191D" w:rsidRDefault="0023191D" w:rsidP="0023191D">
      <w:pPr>
        <w:jc w:val="both"/>
        <w:rPr>
          <w:bCs/>
          <w:sz w:val="28"/>
          <w:szCs w:val="28"/>
          <w:shd w:val="clear" w:color="auto" w:fill="FFFFFF"/>
          <w:lang w:val="en-US"/>
        </w:rPr>
      </w:pPr>
      <w:r>
        <w:rPr>
          <w:sz w:val="28"/>
          <w:szCs w:val="28"/>
          <w:lang w:val="en-US"/>
        </w:rPr>
        <w:t xml:space="preserve">Sarah Blackwell, </w:t>
      </w:r>
      <w:r>
        <w:rPr>
          <w:bCs/>
          <w:sz w:val="28"/>
          <w:szCs w:val="28"/>
          <w:shd w:val="clear" w:color="auto" w:fill="FFFFFF"/>
          <w:lang w:val="en-US"/>
        </w:rPr>
        <w:t>“Porque  in  Spanish  oral  narratives: Semantic</w:t>
      </w:r>
      <w:r>
        <w:rPr>
          <w:rStyle w:val="apple-converted-space"/>
          <w:bCs/>
          <w:sz w:val="28"/>
          <w:szCs w:val="28"/>
          <w:shd w:val="clear" w:color="auto" w:fill="FFFFFF"/>
          <w:lang w:val="en-US"/>
        </w:rPr>
        <w:t> </w:t>
      </w:r>
      <w:r>
        <w:rPr>
          <w:bCs/>
          <w:i/>
          <w:iCs/>
          <w:sz w:val="28"/>
          <w:szCs w:val="28"/>
          <w:shd w:val="clear" w:color="auto" w:fill="FFFFFF"/>
          <w:lang w:val="en-US"/>
        </w:rPr>
        <w:t>porque</w:t>
      </w:r>
      <w:r>
        <w:rPr>
          <w:bCs/>
          <w:sz w:val="28"/>
          <w:szCs w:val="28"/>
          <w:shd w:val="clear" w:color="auto" w:fill="FFFFFF"/>
          <w:lang w:val="en-US"/>
        </w:rPr>
        <w:t>, (meta) pragmatic</w:t>
      </w:r>
      <w:r>
        <w:rPr>
          <w:rStyle w:val="apple-converted-space"/>
          <w:bCs/>
          <w:sz w:val="28"/>
          <w:szCs w:val="28"/>
          <w:shd w:val="clear" w:color="auto" w:fill="FFFFFF"/>
          <w:lang w:val="en-US"/>
        </w:rPr>
        <w:t> </w:t>
      </w:r>
      <w:r>
        <w:rPr>
          <w:bCs/>
          <w:i/>
          <w:iCs/>
          <w:sz w:val="28"/>
          <w:szCs w:val="28"/>
          <w:shd w:val="clear" w:color="auto" w:fill="FFFFFF"/>
          <w:lang w:val="en-US"/>
        </w:rPr>
        <w:t>porque</w:t>
      </w:r>
      <w:r>
        <w:rPr>
          <w:rStyle w:val="apple-converted-space"/>
          <w:bCs/>
          <w:sz w:val="28"/>
          <w:szCs w:val="28"/>
          <w:shd w:val="clear" w:color="auto" w:fill="FFFFFF"/>
          <w:lang w:val="en-US"/>
        </w:rPr>
        <w:t> </w:t>
      </w:r>
      <w:r>
        <w:rPr>
          <w:bCs/>
          <w:sz w:val="28"/>
          <w:szCs w:val="28"/>
          <w:shd w:val="clear" w:color="auto" w:fill="FFFFFF"/>
          <w:lang w:val="en-US"/>
        </w:rPr>
        <w:t>or both?”</w:t>
      </w:r>
    </w:p>
    <w:p w:rsidR="006900DA" w:rsidRDefault="006900DA" w:rsidP="006900DA">
      <w:pPr>
        <w:pStyle w:val="Kapitelberschrift"/>
        <w:rPr>
          <w:rFonts w:ascii="Times New Roman" w:hAnsi="Times New Roman" w:cs="Times New Roman"/>
          <w:b w:val="0"/>
          <w:lang w:val="en-US"/>
        </w:rPr>
      </w:pPr>
      <w:r>
        <w:rPr>
          <w:rFonts w:ascii="Times New Roman" w:hAnsi="Times New Roman" w:cs="Times New Roman"/>
          <w:b w:val="0"/>
          <w:lang w:val="en-US"/>
        </w:rPr>
        <w:t>Jacques Moeschler, Argumentation and Connectives.</w:t>
      </w:r>
    </w:p>
    <w:p w:rsidR="0023191D" w:rsidRDefault="0023191D" w:rsidP="006900DA">
      <w:pPr>
        <w:pStyle w:val="Kapitelberschrift"/>
        <w:rPr>
          <w:rFonts w:ascii="Times New Roman" w:hAnsi="Times New Roman" w:cs="Times New Roman"/>
          <w:b w:val="0"/>
          <w:lang w:val="en-US"/>
        </w:rPr>
      </w:pPr>
    </w:p>
    <w:p w:rsidR="006900DA" w:rsidRDefault="006900DA" w:rsidP="006900DA">
      <w:pPr>
        <w:rPr>
          <w:sz w:val="28"/>
          <w:szCs w:val="28"/>
          <w:lang w:val="en-US"/>
        </w:rPr>
      </w:pPr>
      <w:r>
        <w:rPr>
          <w:bCs/>
          <w:sz w:val="28"/>
          <w:szCs w:val="28"/>
          <w:shd w:val="clear" w:color="auto" w:fill="FFFFFF"/>
          <w:lang w:val="en-US"/>
        </w:rPr>
        <w:t xml:space="preserve">Ole Fogh Kirkeby, </w:t>
      </w:r>
      <w:r>
        <w:rPr>
          <w:sz w:val="28"/>
          <w:szCs w:val="28"/>
          <w:lang w:val="en-US"/>
        </w:rPr>
        <w:t>The origin of reason through an outline of the genealogy of language in the light of homonymity, analogy and metaphor.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</w:p>
    <w:p w:rsidR="006900DA" w:rsidRDefault="006900DA" w:rsidP="006900DA">
      <w:pPr>
        <w:rPr>
          <w:sz w:val="28"/>
          <w:szCs w:val="28"/>
          <w:lang w:val="en-US"/>
        </w:rPr>
      </w:pPr>
    </w:p>
    <w:p w:rsidR="006900DA" w:rsidRDefault="006900DA" w:rsidP="006900DA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IV. THE PRAGMATICS OF UTTERANCE</w:t>
      </w:r>
    </w:p>
    <w:p w:rsidR="006900DA" w:rsidRDefault="006900DA" w:rsidP="006900DA">
      <w:pPr>
        <w:autoSpaceDE w:val="0"/>
        <w:autoSpaceDN w:val="0"/>
        <w:adjustRightInd w:val="0"/>
        <w:spacing w:after="0" w:line="240" w:lineRule="auto"/>
        <w:jc w:val="both"/>
        <w:rPr>
          <w:bCs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Eleni Gregoromichelaki and Ruth Kempson, </w:t>
      </w:r>
      <w:r>
        <w:rPr>
          <w:bCs/>
          <w:sz w:val="28"/>
          <w:szCs w:val="28"/>
          <w:lang w:val="en-US"/>
        </w:rPr>
        <w:t>Joint utterances and the (Split-) Turn Taking Puzzle</w:t>
      </w:r>
    </w:p>
    <w:p w:rsidR="006900DA" w:rsidRDefault="006900DA" w:rsidP="006900DA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  <w:lang w:val="en-US"/>
        </w:rPr>
      </w:pP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Tamar Katriel, The metapragmatics of direct utterances </w:t>
      </w:r>
    </w:p>
    <w:p w:rsidR="006900DA" w:rsidRDefault="006900DA" w:rsidP="006900DA">
      <w:pPr>
        <w:pStyle w:val="Titolo2"/>
        <w:rPr>
          <w:rFonts w:ascii="Times New Roman" w:hAnsi="Times New Roman"/>
          <w:b w:val="0"/>
          <w:i w:val="0"/>
          <w:lang w:val="en-US"/>
        </w:rPr>
      </w:pPr>
      <w:r>
        <w:rPr>
          <w:rFonts w:ascii="Times New Roman" w:hAnsi="Times New Roman"/>
          <w:b w:val="0"/>
          <w:i w:val="0"/>
          <w:color w:val="000000"/>
          <w:lang w:val="en-US"/>
        </w:rPr>
        <w:t>Javier Gutiérrez-Rexach &amp; Patricia Andueza</w:t>
      </w:r>
      <w:r>
        <w:rPr>
          <w:rFonts w:ascii="Times New Roman" w:hAnsi="Times New Roman"/>
          <w:b w:val="0"/>
          <w:lang w:val="en-US"/>
        </w:rPr>
        <w:t xml:space="preserve">,  </w:t>
      </w:r>
      <w:r>
        <w:rPr>
          <w:rFonts w:ascii="Times New Roman" w:hAnsi="Times New Roman"/>
          <w:b w:val="0"/>
          <w:i w:val="0"/>
          <w:lang w:val="en-US"/>
        </w:rPr>
        <w:t>Exclamatives, embedding and grounded belief</w:t>
      </w:r>
    </w:p>
    <w:p w:rsidR="006900DA" w:rsidRDefault="006900DA" w:rsidP="006900DA">
      <w:pPr>
        <w:rPr>
          <w:rFonts w:ascii="Cambria" w:hAnsi="Cambria"/>
          <w:lang w:val="en-US"/>
        </w:rPr>
      </w:pPr>
    </w:p>
    <w:p w:rsidR="006900DA" w:rsidRDefault="006900DA" w:rsidP="006900DA">
      <w:pPr>
        <w:pStyle w:val="TitoloA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2"/>
          <w:tab w:val="left" w:pos="5669"/>
          <w:tab w:val="left" w:pos="6236"/>
          <w:tab w:val="left" w:pos="6803"/>
          <w:tab w:val="left" w:pos="7370"/>
          <w:tab w:val="left" w:pos="7937"/>
          <w:tab w:val="left" w:pos="8504"/>
        </w:tabs>
        <w:spacing w:line="360" w:lineRule="auto"/>
        <w:jc w:val="both"/>
        <w:rPr>
          <w:rFonts w:ascii="Times New Roman" w:hAnsi="Times New Roman"/>
          <w:b w:val="0"/>
          <w:color w:val="auto"/>
          <w:sz w:val="28"/>
          <w:szCs w:val="28"/>
          <w:lang w:val="en-US"/>
        </w:rPr>
      </w:pPr>
      <w:r>
        <w:rPr>
          <w:rFonts w:ascii="Times New Roman" w:hAnsi="Times New Roman"/>
          <w:b w:val="0"/>
          <w:color w:val="auto"/>
          <w:sz w:val="28"/>
          <w:szCs w:val="28"/>
          <w:lang w:val="en-US"/>
        </w:rPr>
        <w:t>Pietro Perconti, An epistemic commitment in the very idea of “speaker’s intention”</w:t>
      </w:r>
    </w:p>
    <w:p w:rsidR="006900DA" w:rsidRDefault="006900DA" w:rsidP="006900DA">
      <w:pPr>
        <w:spacing w:line="360" w:lineRule="auto"/>
        <w:rPr>
          <w:rFonts w:ascii="Times New Roman" w:hAnsi="Times New Roman"/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Adam Croom,  </w:t>
      </w:r>
      <w:r>
        <w:rPr>
          <w:rFonts w:ascii="Times New Roman" w:hAnsi="Times New Roman"/>
          <w:sz w:val="28"/>
          <w:szCs w:val="28"/>
          <w:lang w:val="en-US"/>
        </w:rPr>
        <w:t>An Assessment of the Negative and Positive Aspects of Stereotypes and the Derogatory and Non-Derogatory Uses of Slurs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</w:p>
    <w:p w:rsidR="006900DA" w:rsidRDefault="006900DA" w:rsidP="006900DA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V. CULTURAL PERSPECTIVES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Brian E. Butler, Pragmatics and legal interpretation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Jock Wong, A critical look at the description of speech acts</w:t>
      </w:r>
    </w:p>
    <w:p w:rsidR="006900DA" w:rsidRDefault="006900DA" w:rsidP="006900D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Jock Wong, The pragmatics of ‘can’ in Singapore Mandarin</w:t>
      </w:r>
    </w:p>
    <w:p w:rsidR="006900DA" w:rsidRDefault="006900DA" w:rsidP="006900DA">
      <w:pPr>
        <w:autoSpaceDE w:val="0"/>
        <w:spacing w:after="0" w:line="24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Andrew Jacobs, Appropriating a slur.</w:t>
      </w:r>
    </w:p>
    <w:p w:rsidR="006900DA" w:rsidRDefault="006900DA" w:rsidP="006900DA">
      <w:pPr>
        <w:autoSpaceDE w:val="0"/>
        <w:spacing w:after="0" w:line="240" w:lineRule="auto"/>
        <w:jc w:val="both"/>
        <w:rPr>
          <w:sz w:val="28"/>
          <w:szCs w:val="28"/>
          <w:lang w:val="en-US"/>
        </w:rPr>
      </w:pPr>
    </w:p>
    <w:p w:rsidR="006900DA" w:rsidRDefault="006900DA" w:rsidP="006900DA">
      <w:pPr>
        <w:autoSpaceDE w:val="0"/>
        <w:spacing w:after="0" w:line="24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Brian Poole, </w:t>
      </w:r>
      <w:r>
        <w:rPr>
          <w:bCs/>
          <w:sz w:val="28"/>
          <w:szCs w:val="28"/>
          <w:lang w:val="en-US"/>
        </w:rPr>
        <w:t>Collectivism and coercion: The social practice of ‘sharing’ and distinctive uses of the verb ‘share’ in contemporary Singapore.</w:t>
      </w:r>
      <w:r>
        <w:rPr>
          <w:b/>
          <w:bCs/>
          <w:sz w:val="28"/>
          <w:szCs w:val="28"/>
          <w:lang w:val="en-US"/>
        </w:rPr>
        <w:t xml:space="preserve"> </w:t>
      </w:r>
    </w:p>
    <w:p w:rsidR="006900DA" w:rsidRDefault="006900DA" w:rsidP="006900DA">
      <w:pPr>
        <w:rPr>
          <w:sz w:val="28"/>
          <w:szCs w:val="28"/>
          <w:lang w:val="en-US"/>
        </w:rPr>
      </w:pPr>
    </w:p>
    <w:p w:rsidR="006900DA" w:rsidRDefault="006900DA" w:rsidP="006900D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John Wakefield,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Emotional Feelings as a Form of Evidence: A Case Study of Visceral Evidentiality in Mormon Culture</w:t>
      </w:r>
      <w:r>
        <w:rPr>
          <w:sz w:val="28"/>
          <w:szCs w:val="28"/>
          <w:lang w:val="en-US"/>
        </w:rPr>
        <w:t>.</w:t>
      </w:r>
    </w:p>
    <w:p w:rsidR="006900DA" w:rsidRDefault="006900DA" w:rsidP="006900D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Nodoushan, M. S., Refusal strategies: Persian speaker’s use of refusal strategies across politeness systems</w:t>
      </w:r>
    </w:p>
    <w:p w:rsidR="006900DA" w:rsidRDefault="006900DA" w:rsidP="006900D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Nodoushan, A Socio-Semiotic Analysis of Funerary Rites in Iran</w:t>
      </w:r>
    </w:p>
    <w:p w:rsidR="00C2281F" w:rsidRPr="006900DA" w:rsidRDefault="006900DA">
      <w:pPr>
        <w:rPr>
          <w:lang w:val="en-US"/>
        </w:rPr>
      </w:pPr>
      <w:r>
        <w:rPr>
          <w:sz w:val="28"/>
          <w:szCs w:val="28"/>
          <w:lang w:val="en-US"/>
        </w:rPr>
        <w:t>Jacob L. Mey, Twenty-seven views of language socialization</w:t>
      </w:r>
    </w:p>
    <w:sectPr w:rsidR="00C2281F" w:rsidRPr="006900DA" w:rsidSect="00682C6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32A" w:rsidRDefault="00D1432A" w:rsidP="005C0235">
      <w:pPr>
        <w:spacing w:after="0" w:line="240" w:lineRule="auto"/>
      </w:pPr>
      <w:r>
        <w:separator/>
      </w:r>
    </w:p>
  </w:endnote>
  <w:endnote w:type="continuationSeparator" w:id="1">
    <w:p w:rsidR="00D1432A" w:rsidRDefault="00D1432A" w:rsidP="005C0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 Neue">
    <w:altName w:val="Agency FB"/>
    <w:charset w:val="00"/>
    <w:family w:val="auto"/>
    <w:pitch w:val="variable"/>
    <w:sig w:usb0="00000003" w:usb1="00000000" w:usb2="00000000" w:usb3="00000000" w:csb0="00000001" w:csb1="00000000"/>
  </w:font>
  <w:font w:name="ヒラギノ角ゴ Pro W3">
    <w:altName w:val="MS Mincho"/>
    <w:charset w:val="4E"/>
    <w:family w:val="auto"/>
    <w:pitch w:val="variable"/>
    <w:sig w:usb0="00000000" w:usb1="7AC7FFFF" w:usb2="00000012" w:usb3="00000000" w:csb0="0002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32A" w:rsidRDefault="00D1432A" w:rsidP="005C0235">
      <w:pPr>
        <w:spacing w:after="0" w:line="240" w:lineRule="auto"/>
      </w:pPr>
      <w:r>
        <w:separator/>
      </w:r>
    </w:p>
  </w:footnote>
  <w:footnote w:type="continuationSeparator" w:id="1">
    <w:p w:rsidR="00D1432A" w:rsidRDefault="00D1432A" w:rsidP="005C02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900DA"/>
    <w:rsid w:val="0023191D"/>
    <w:rsid w:val="00250FD6"/>
    <w:rsid w:val="002754C6"/>
    <w:rsid w:val="005C0235"/>
    <w:rsid w:val="00621917"/>
    <w:rsid w:val="006436B1"/>
    <w:rsid w:val="00682C60"/>
    <w:rsid w:val="006900DA"/>
    <w:rsid w:val="00BB5656"/>
    <w:rsid w:val="00BF1D56"/>
    <w:rsid w:val="00C2281F"/>
    <w:rsid w:val="00D1432A"/>
    <w:rsid w:val="00DC3B13"/>
    <w:rsid w:val="00FB3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82C60"/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6900DA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semiHidden/>
    <w:rsid w:val="006900D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itoloA">
    <w:name w:val="Titolo A"/>
    <w:next w:val="Normale"/>
    <w:rsid w:val="006900DA"/>
    <w:pPr>
      <w:spacing w:after="240" w:line="240" w:lineRule="auto"/>
      <w:outlineLvl w:val="0"/>
    </w:pPr>
    <w:rPr>
      <w:rFonts w:ascii="Helvetica Neue" w:eastAsia="ヒラギノ角ゴ Pro W3" w:hAnsi="Helvetica Neue" w:cs="Times New Roman"/>
      <w:b/>
      <w:color w:val="424242"/>
      <w:sz w:val="52"/>
      <w:szCs w:val="20"/>
    </w:rPr>
  </w:style>
  <w:style w:type="paragraph" w:customStyle="1" w:styleId="Kapitelberschrift">
    <w:name w:val="Kapitelüberschrift"/>
    <w:rsid w:val="006900DA"/>
    <w:pPr>
      <w:keepNext/>
      <w:spacing w:after="120" w:line="240" w:lineRule="auto"/>
    </w:pPr>
    <w:rPr>
      <w:rFonts w:ascii="Arial" w:eastAsia="Times New Roman" w:hAnsi="Arial" w:cs="Arial"/>
      <w:b/>
      <w:bCs/>
      <w:kern w:val="28"/>
      <w:sz w:val="28"/>
      <w:szCs w:val="32"/>
      <w:lang w:val="de-DE" w:eastAsia="de-AT"/>
    </w:rPr>
  </w:style>
  <w:style w:type="character" w:customStyle="1" w:styleId="apple-converted-space">
    <w:name w:val="apple-converted-space"/>
    <w:basedOn w:val="Carpredefinitoparagrafo"/>
    <w:rsid w:val="006900DA"/>
  </w:style>
  <w:style w:type="paragraph" w:styleId="NormaleWeb">
    <w:name w:val="Normal (Web)"/>
    <w:basedOn w:val="Normale"/>
    <w:uiPriority w:val="99"/>
    <w:semiHidden/>
    <w:unhideWhenUsed/>
    <w:rsid w:val="005C0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C02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de-D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C0235"/>
    <w:rPr>
      <w:rFonts w:ascii="Courier New" w:eastAsia="Times New Roman" w:hAnsi="Courier New" w:cs="Courier New"/>
      <w:sz w:val="20"/>
      <w:szCs w:val="20"/>
      <w:lang w:val="en-GB" w:eastAsia="de-DE"/>
    </w:rPr>
  </w:style>
  <w:style w:type="paragraph" w:customStyle="1" w:styleId="headingA">
    <w:name w:val="heading A"/>
    <w:basedOn w:val="Normale"/>
    <w:uiPriority w:val="99"/>
    <w:rsid w:val="005C0235"/>
    <w:pPr>
      <w:widowControl w:val="0"/>
      <w:shd w:val="clear" w:color="auto" w:fill="FFFFFF"/>
      <w:autoSpaceDE w:val="0"/>
      <w:autoSpaceDN w:val="0"/>
      <w:adjustRightInd w:val="0"/>
      <w:spacing w:after="0" w:line="480" w:lineRule="auto"/>
      <w:jc w:val="center"/>
    </w:pPr>
    <w:rPr>
      <w:rFonts w:ascii="Times New Roman" w:eastAsia="Times New Roman" w:hAnsi="Times New Roman" w:cs="Times New Roman"/>
      <w:b/>
      <w:sz w:val="28"/>
      <w:szCs w:val="4"/>
      <w:lang w:val="en-GB" w:eastAsia="de-DE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C0235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54CBF-BFDB-46DE-A42A-BC15C57B6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Sandro</cp:lastModifiedBy>
  <cp:revision>7</cp:revision>
  <dcterms:created xsi:type="dcterms:W3CDTF">2014-04-04T11:29:00Z</dcterms:created>
  <dcterms:modified xsi:type="dcterms:W3CDTF">2014-04-17T19:35:00Z</dcterms:modified>
</cp:coreProperties>
</file>